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7BA684DC" w:rsidP="152709E8" w:rsidRDefault="7BA684DC" w14:paraId="340D94A7" w14:textId="57CE1F93">
      <w:pPr>
        <w:pStyle w:val="paragraph"/>
        <w:spacing w:before="0" w:beforeAutospacing="off" w:after="0" w:afterAutospacing="off"/>
      </w:pPr>
    </w:p>
    <w:p w:rsidR="73B49B54" w:rsidP="73B49B54" w:rsidRDefault="73B49B54" w14:paraId="362C3B36" w14:textId="36D0D285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6"/>
          <w:szCs w:val="26"/>
        </w:rPr>
      </w:pPr>
    </w:p>
    <w:p w:rsidR="00BA22C7" w:rsidP="73B49B54" w:rsidRDefault="00C67EDB" w14:paraId="54784531" w14:textId="761F36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 xml:space="preserve">Sample </w:t>
      </w:r>
      <w:r w:rsidR="00BA22C7">
        <w:rPr>
          <w:rStyle w:val="normaltextrun"/>
          <w:b/>
          <w:bCs/>
          <w:sz w:val="26"/>
          <w:szCs w:val="26"/>
        </w:rPr>
        <w:t xml:space="preserve">Extenuating Circumstances Policy for </w:t>
      </w:r>
      <w:r>
        <w:rPr>
          <w:rStyle w:val="normaltextrun"/>
          <w:b/>
          <w:bCs/>
          <w:sz w:val="26"/>
          <w:szCs w:val="26"/>
        </w:rPr>
        <w:br/>
      </w:r>
      <w:r w:rsidR="00BA22C7">
        <w:rPr>
          <w:rStyle w:val="normaltextrun"/>
          <w:b/>
          <w:bCs/>
          <w:sz w:val="26"/>
          <w:szCs w:val="26"/>
        </w:rPr>
        <w:t xml:space="preserve">Make-Up </w:t>
      </w:r>
      <w:r w:rsidR="00264CE6">
        <w:rPr>
          <w:rStyle w:val="normaltextrun"/>
          <w:b/>
          <w:bCs/>
          <w:sz w:val="26"/>
          <w:szCs w:val="26"/>
        </w:rPr>
        <w:t>Post-assessments</w:t>
      </w:r>
      <w:r w:rsidR="00BA22C7">
        <w:rPr>
          <w:rStyle w:val="normaltextrun"/>
          <w:b/>
          <w:bCs/>
          <w:sz w:val="26"/>
          <w:szCs w:val="26"/>
        </w:rPr>
        <w:t xml:space="preserve"> and Sessions</w:t>
      </w:r>
    </w:p>
    <w:p w:rsidRPr="00D766EC" w:rsidR="00205A12" w:rsidP="00205A12" w:rsidRDefault="00BA22C7" w14:paraId="250354A0" w14:textId="0B1D87FF">
      <w:pPr>
        <w:rPr>
          <w:sz w:val="24"/>
          <w:szCs w:val="24"/>
        </w:rPr>
      </w:pPr>
      <w:r>
        <w:rPr>
          <w:rStyle w:val="CommentTextChar"/>
        </w:rPr>
        <w:t> </w:t>
      </w:r>
      <w:r>
        <w:rPr>
          <w:rFonts w:ascii="Calibri" w:hAnsi="Calibri" w:cs="Calibri"/>
        </w:rPr>
        <w:br/>
      </w:r>
      <w:r w:rsidRPr="00D766EC" w:rsidR="00205A12"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>What are Extenuating circumstances?</w:t>
      </w:r>
    </w:p>
    <w:p w:rsidRPr="00D766EC" w:rsidR="00205A12" w:rsidP="00205A12" w:rsidRDefault="00205A12" w14:paraId="0BD24037" w14:textId="02172A53">
      <w:pPr>
        <w:spacing w:line="240" w:lineRule="auto"/>
        <w:rPr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Extenuating circumstances are unavoidable, unexpected and beyond a participant’s control. </w:t>
      </w:r>
      <w:r w:rsidR="002A743F">
        <w:rPr>
          <w:rFonts w:ascii="Times New Roman" w:hAnsi="Times New Roman" w:eastAsia="Times New Roman" w:cs="Times New Roman"/>
          <w:color w:val="222222"/>
          <w:sz w:val="24"/>
          <w:szCs w:val="24"/>
        </w:rPr>
        <w:t>They</w:t>
      </w: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may impact </w:t>
      </w:r>
      <w:r w:rsidR="002A743F">
        <w:rPr>
          <w:rFonts w:ascii="Times New Roman" w:hAnsi="Times New Roman" w:eastAsia="Times New Roman" w:cs="Times New Roman"/>
          <w:color w:val="222222"/>
          <w:sz w:val="24"/>
          <w:szCs w:val="24"/>
        </w:rPr>
        <w:t>participants’</w:t>
      </w: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ability to </w:t>
      </w:r>
      <w:r w:rsidR="002A743F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take an exam or attend class. </w:t>
      </w: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Extenuating circumstances are usually health-related or serious personal or family situations such as a serious illness or the death of a close relative.</w:t>
      </w:r>
    </w:p>
    <w:p w:rsidRPr="00D766EC" w:rsidR="00205A12" w:rsidP="00205A12" w:rsidRDefault="00205A12" w14:paraId="1BF63967" w14:textId="04AA0CF1">
      <w:pPr>
        <w:spacing w:line="240" w:lineRule="auto"/>
        <w:rPr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br/>
      </w:r>
      <w:r w:rsidRPr="00D766EC"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What may be accepted as </w:t>
      </w:r>
      <w:r w:rsidR="002A743F"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an extenuating circumstance? </w:t>
      </w:r>
    </w:p>
    <w:p w:rsidRPr="00D766EC" w:rsidR="00205A12" w:rsidP="00205A12" w:rsidRDefault="00F869E0" w14:paraId="5004D977" w14:textId="623C9A04">
      <w:pPr>
        <w:spacing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Extenuating circumstances are those that are</w:t>
      </w:r>
      <w:r w:rsidRPr="00D766EC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‘beyond the control of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the </w:t>
      </w:r>
      <w:r w:rsidRPr="00D766EC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participant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.</w:t>
      </w:r>
      <w:r w:rsidRPr="00D766EC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’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M</w:t>
      </w:r>
      <w:r w:rsidRPr="00D766EC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inor illness, family event, travel plan, employment responsibility, or transportation difficulty will not normally be accepted.</w:t>
      </w:r>
    </w:p>
    <w:p w:rsidRPr="00D766EC" w:rsidR="00205A12" w:rsidP="00205A12" w:rsidRDefault="00205A12" w14:paraId="65179B25" w14:textId="77777777">
      <w:pPr>
        <w:spacing w:line="240" w:lineRule="auto"/>
        <w:rPr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Some examples that may be accepted:</w:t>
      </w:r>
    </w:p>
    <w:p w:rsidRPr="00D766EC" w:rsidR="00205A12" w:rsidP="00205A12" w:rsidRDefault="00205A12" w14:paraId="55A7D061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Acute illness or injury on the day of or during the examination, including COVID-19</w:t>
      </w:r>
    </w:p>
    <w:p w:rsidRPr="00D766EC" w:rsidR="00205A12" w:rsidP="00205A12" w:rsidRDefault="00205A12" w14:paraId="21F1EF55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The death or serious illness of a close family member or dependent</w:t>
      </w:r>
    </w:p>
    <w:p w:rsidRPr="00D766EC" w:rsidR="00205A12" w:rsidP="00205A12" w:rsidRDefault="00205A12" w14:paraId="59775E67" w14:textId="66274E9F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152709E8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Sudden worsening of a long-term health condition</w:t>
      </w:r>
    </w:p>
    <w:p w:rsidRPr="00D766EC" w:rsidR="00205A12" w:rsidP="00205A12" w:rsidRDefault="00205A12" w14:paraId="536D7D0B" w14:textId="39E357B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Extended illness or injury that lasts for more than five </w:t>
      </w:r>
      <w:proofErr w:type="gramStart"/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days</w:t>
      </w:r>
      <w:proofErr w:type="gramEnd"/>
    </w:p>
    <w:p w:rsidRPr="00D766EC" w:rsidR="00205A12" w:rsidP="00205A12" w:rsidRDefault="00205A12" w14:paraId="2A62F0DB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Serious personal injury</w:t>
      </w:r>
    </w:p>
    <w:p w:rsidRPr="00D766EC" w:rsidR="00205A12" w:rsidP="00205A12" w:rsidRDefault="00205A12" w14:paraId="30BEBD94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Being the victim of a serious crime</w:t>
      </w:r>
    </w:p>
    <w:p w:rsidRPr="00D766EC" w:rsidR="00205A12" w:rsidP="00205A12" w:rsidRDefault="00205A12" w14:paraId="207B9D33" w14:textId="77777777" w14:noSpellErr="1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75F6481F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Unavoidable and/or unforeseen transport difficulties (</w:t>
      </w:r>
      <w:r w:rsidRPr="75F6481F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e.g., through natural disaster</w:t>
      </w:r>
      <w:r w:rsidRPr="75F6481F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)</w:t>
      </w:r>
    </w:p>
    <w:p w:rsidRPr="00D766EC" w:rsidR="00205A12" w:rsidP="00205A12" w:rsidRDefault="00205A12" w14:paraId="414A7D7A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Court attendance/Jury service </w:t>
      </w:r>
    </w:p>
    <w:p w:rsidRPr="00D766EC" w:rsidR="00205A12" w:rsidP="00205A12" w:rsidRDefault="00205A12" w14:paraId="61BC83E4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Jury service where deferral has been refused by the </w:t>
      </w:r>
      <w:proofErr w:type="gramStart"/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court</w:t>
      </w:r>
      <w:proofErr w:type="gramEnd"/>
    </w:p>
    <w:p w:rsidRPr="00D766EC" w:rsidR="00205A12" w:rsidP="00205A12" w:rsidRDefault="00205A12" w14:paraId="181CA21D" w14:textId="77777777">
      <w:pPr>
        <w:spacing w:line="240" w:lineRule="auto"/>
        <w:rPr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Examples that are unlikely to be accepted:</w:t>
      </w:r>
    </w:p>
    <w:p w:rsidRPr="00D766EC" w:rsidR="00205A12" w:rsidP="00205A12" w:rsidRDefault="00205A12" w14:paraId="1D83F5AC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Any reasons submitted without supporting </w:t>
      </w:r>
      <w:proofErr w:type="gramStart"/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evidence</w:t>
      </w:r>
      <w:proofErr w:type="gramEnd"/>
    </w:p>
    <w:p w:rsidRPr="00D766EC" w:rsidR="00205A12" w:rsidP="00205A12" w:rsidRDefault="00205A12" w14:paraId="6A7497BB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Mistaking the date/time/location of the examination</w:t>
      </w:r>
    </w:p>
    <w:p w:rsidRPr="00D766EC" w:rsidR="00205A12" w:rsidP="00205A12" w:rsidRDefault="00205A12" w14:paraId="15EDCF61" w14:textId="77777777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D766EC">
        <w:rPr>
          <w:rFonts w:ascii="Times New Roman" w:hAnsi="Times New Roman" w:eastAsia="Times New Roman" w:cs="Times New Roman"/>
          <w:color w:val="222222"/>
          <w:sz w:val="24"/>
          <w:szCs w:val="24"/>
        </w:rPr>
        <w:t>Routine employment commitments</w:t>
      </w:r>
    </w:p>
    <w:p w:rsidRPr="00D766EC" w:rsidR="00205A12" w:rsidP="00205A12" w:rsidRDefault="00205A12" w14:paraId="2CF7475C" w14:textId="61D221B0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3BA94131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Transport difficulties, foreseeable or planned travel </w:t>
      </w:r>
      <w:r w:rsidRPr="3BA94131" w:rsidR="00205A12">
        <w:rPr>
          <w:rFonts w:ascii="Times New Roman" w:hAnsi="Times New Roman" w:eastAsia="Times New Roman" w:cs="Times New Roman"/>
          <w:color w:val="222222"/>
          <w:sz w:val="24"/>
          <w:szCs w:val="24"/>
        </w:rPr>
        <w:t>disruption</w:t>
      </w:r>
      <w:r w:rsidRPr="3BA94131" w:rsidR="4945D7CD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</w:p>
    <w:p w:rsidRPr="00D766EC" w:rsidR="00205A12" w:rsidP="3263A860" w:rsidRDefault="00205A12" w14:paraId="5F398C09" w14:textId="34888A61">
      <w:pPr>
        <w:pStyle w:val="Normal"/>
        <w:tabs>
          <w:tab w:val="left" w:pos="720"/>
        </w:tabs>
        <w:spacing w:line="240" w:lineRule="auto"/>
        <w:ind w:left="72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75F6481F" w:rsidR="5E2E9CB0">
        <w:rPr>
          <w:rFonts w:ascii="Times New Roman" w:hAnsi="Times New Roman" w:eastAsia="Times New Roman" w:cs="Times New Roman"/>
          <w:color w:val="222222"/>
          <w:sz w:val="24"/>
          <w:szCs w:val="24"/>
        </w:rPr>
        <w:t>N</w:t>
      </w:r>
      <w:r w:rsidRPr="75F6481F" w:rsidR="4945D7CD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ote: Extenuating circumstances are those that are </w:t>
      </w:r>
      <w:r w:rsidRPr="75F6481F" w:rsidR="7E7E7C8F">
        <w:rPr>
          <w:rFonts w:ascii="Times New Roman" w:hAnsi="Times New Roman" w:eastAsia="Times New Roman" w:cs="Times New Roman"/>
          <w:color w:val="222222"/>
          <w:sz w:val="24"/>
          <w:szCs w:val="24"/>
        </w:rPr>
        <w:t>“</w:t>
      </w:r>
      <w:r w:rsidRPr="75F6481F" w:rsidR="4945D7CD">
        <w:rPr>
          <w:rFonts w:ascii="Times New Roman" w:hAnsi="Times New Roman" w:eastAsia="Times New Roman" w:cs="Times New Roman"/>
          <w:color w:val="222222"/>
          <w:sz w:val="24"/>
          <w:szCs w:val="24"/>
        </w:rPr>
        <w:t>beyond the control of the participant.</w:t>
      </w:r>
      <w:r w:rsidRPr="75F6481F" w:rsidR="0436C28C">
        <w:rPr>
          <w:rFonts w:ascii="Times New Roman" w:hAnsi="Times New Roman" w:eastAsia="Times New Roman" w:cs="Times New Roman"/>
          <w:color w:val="222222"/>
          <w:sz w:val="24"/>
          <w:szCs w:val="24"/>
        </w:rPr>
        <w:t>”</w:t>
      </w:r>
    </w:p>
    <w:p w:rsidR="000B2BDE" w:rsidP="152709E8" w:rsidRDefault="00205A12" w14:paraId="3DBE2045" w14:textId="2BF86AE9">
      <w:pPr>
        <w:pStyle w:val="paragraph"/>
        <w:spacing w:before="0" w:beforeAutospacing="off" w:after="0" w:afterAutospacing="off"/>
        <w:textAlignment w:val="baseline"/>
        <w:rPr>
          <w:color w:val="222222"/>
        </w:rPr>
      </w:pPr>
      <w:r w:rsidRPr="75F6481F" w:rsidR="00205A12">
        <w:rPr>
          <w:color w:val="222222"/>
        </w:rPr>
        <w:t xml:space="preserve">Expected due date (candidates who are pregnant can seek special arrangements by </w:t>
      </w:r>
      <w:r w:rsidRPr="75F6481F" w:rsidR="00205A12">
        <w:rPr>
          <w:color w:val="222222"/>
        </w:rPr>
        <w:t>submitting</w:t>
      </w:r>
      <w:r w:rsidRPr="75F6481F" w:rsidR="00205A12">
        <w:rPr>
          <w:color w:val="222222"/>
        </w:rPr>
        <w:t xml:space="preserve"> a request to the instructor)</w:t>
      </w:r>
      <w:r w:rsidRPr="75F6481F" w:rsidR="2641EFD0">
        <w:rPr>
          <w:color w:val="222222"/>
        </w:rPr>
        <w:t xml:space="preserve">. </w:t>
      </w:r>
    </w:p>
    <w:p w:rsidR="75F6481F" w:rsidP="75F6481F" w:rsidRDefault="75F6481F" w14:paraId="55364A3F" w14:textId="5611A1ED">
      <w:pPr>
        <w:pStyle w:val="paragraph"/>
        <w:spacing w:before="0" w:beforeAutospacing="off" w:after="0" w:afterAutospacing="off"/>
        <w:rPr>
          <w:color w:val="222222"/>
        </w:rPr>
      </w:pPr>
    </w:p>
    <w:p w:rsidR="0E8B996A" w:rsidP="3263A860" w:rsidRDefault="0E8B996A" w14:paraId="7E4A6A47" w14:textId="2BE35ECC">
      <w:pPr>
        <w:pStyle w:val="paragraph"/>
        <w:spacing w:before="0" w:beforeAutospacing="off" w:after="0" w:afterAutospacing="off"/>
        <w:ind w:left="720"/>
        <w:rPr>
          <w:color w:val="222222"/>
        </w:rPr>
      </w:pPr>
      <w:r w:rsidRPr="3263A860" w:rsidR="0E8B996A">
        <w:rPr>
          <w:color w:val="222222"/>
        </w:rPr>
        <w:t xml:space="preserve">Note: </w:t>
      </w:r>
      <w:r w:rsidRPr="3263A860" w:rsidR="1CD381E2">
        <w:rPr>
          <w:color w:val="222222"/>
        </w:rPr>
        <w:t xml:space="preserve">Some pregnant workers may have one or more impairments related to their pregnancy that qualify as a “disability” under the ADA. In addition, the Pregnancy Discrimination Act (PDA) of 1978 </w:t>
      </w:r>
      <w:r w:rsidRPr="3263A860" w:rsidR="1CD381E2">
        <w:rPr>
          <w:color w:val="222222"/>
        </w:rPr>
        <w:t>amended Title VII of the Civil Rights Act of 1964 to "prohibit sex discrimination on the basis of pregnancy."</w:t>
      </w:r>
    </w:p>
    <w:p w:rsidRPr="00D766EC" w:rsidR="00D766EC" w:rsidP="75F6481F" w:rsidRDefault="00D766EC" w14:paraId="0F99889F" w14:textId="2C89A299">
      <w:pPr>
        <w:pStyle w:val="paragraph"/>
        <w:spacing w:before="0" w:beforeAutospacing="off" w:after="0" w:afterAutospacing="off"/>
        <w:textAlignment w:val="baseline"/>
        <w:rPr>
          <w:color w:val="222222"/>
        </w:rPr>
      </w:pPr>
    </w:p>
    <w:sectPr w:rsidRPr="00D766EC" w:rsidR="00D766E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782becbb4c140a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89C" w:rsidP="00AA02C0" w:rsidRDefault="0042289C" w14:paraId="51A64BAC" w14:textId="77777777">
      <w:pPr>
        <w:spacing w:after="0" w:line="240" w:lineRule="auto"/>
      </w:pPr>
      <w:r>
        <w:separator/>
      </w:r>
    </w:p>
  </w:endnote>
  <w:endnote w:type="continuationSeparator" w:id="0">
    <w:p w:rsidR="0042289C" w:rsidP="00AA02C0" w:rsidRDefault="0042289C" w14:paraId="09D144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94131" w:rsidTr="3BA94131" w14:paraId="41F7A8E2">
      <w:trPr>
        <w:trHeight w:val="300"/>
      </w:trPr>
      <w:tc>
        <w:tcPr>
          <w:tcW w:w="3120" w:type="dxa"/>
          <w:tcMar/>
        </w:tcPr>
        <w:p w:rsidR="3BA94131" w:rsidP="3BA94131" w:rsidRDefault="3BA94131" w14:paraId="07DF0D91" w14:textId="020E245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A94131" w:rsidP="3BA94131" w:rsidRDefault="3BA94131" w14:paraId="52A2E715" w14:textId="61C1D38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A94131" w:rsidP="3BA94131" w:rsidRDefault="3BA94131" w14:paraId="2957F326" w14:textId="29E0D398">
          <w:pPr>
            <w:pStyle w:val="Header"/>
            <w:bidi w:val="0"/>
            <w:ind w:right="-115"/>
            <w:jc w:val="right"/>
          </w:pPr>
        </w:p>
      </w:tc>
    </w:tr>
  </w:tbl>
  <w:p w:rsidR="3BA94131" w:rsidP="3BA94131" w:rsidRDefault="3BA94131" w14:paraId="17A4676F" w14:textId="62F84D6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89C" w:rsidP="00AA02C0" w:rsidRDefault="0042289C" w14:paraId="22215A09" w14:textId="77777777">
      <w:pPr>
        <w:spacing w:after="0" w:line="240" w:lineRule="auto"/>
      </w:pPr>
      <w:r>
        <w:separator/>
      </w:r>
    </w:p>
  </w:footnote>
  <w:footnote w:type="continuationSeparator" w:id="0">
    <w:p w:rsidR="0042289C" w:rsidP="00AA02C0" w:rsidRDefault="0042289C" w14:paraId="1B05E5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02C0" w:rsidRDefault="002A743F" w14:paraId="486C2371" w14:textId="57E9B06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17068" wp14:editId="042B45B3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2826327" cy="1230734"/>
          <wp:effectExtent l="0" t="0" r="0" b="7620"/>
          <wp:wrapSquare wrapText="bothSides"/>
          <wp:docPr id="220135265" name="Picture 22013526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135265" name="Picture 22013526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27" cy="123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28C"/>
    <w:multiLevelType w:val="multilevel"/>
    <w:tmpl w:val="14E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5885721"/>
    <w:multiLevelType w:val="multilevel"/>
    <w:tmpl w:val="A25C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0C80072"/>
    <w:multiLevelType w:val="hybridMultilevel"/>
    <w:tmpl w:val="FFFFFFFF"/>
    <w:lvl w:ilvl="0" w:tplc="91F257B2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D3EC946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ED866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5B8D39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52007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BC2FE6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2EEF5C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BFEC04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CB80B1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07871772">
    <w:abstractNumId w:val="0"/>
  </w:num>
  <w:num w:numId="2" w16cid:durableId="1745256003">
    <w:abstractNumId w:val="1"/>
  </w:num>
  <w:num w:numId="3" w16cid:durableId="92407015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C7"/>
    <w:rsid w:val="00064417"/>
    <w:rsid w:val="000B2BDE"/>
    <w:rsid w:val="00205A12"/>
    <w:rsid w:val="00240070"/>
    <w:rsid w:val="00264CE6"/>
    <w:rsid w:val="002A743F"/>
    <w:rsid w:val="00332888"/>
    <w:rsid w:val="003B4ABD"/>
    <w:rsid w:val="0042289C"/>
    <w:rsid w:val="00AA02C0"/>
    <w:rsid w:val="00AA7C7E"/>
    <w:rsid w:val="00BA22C7"/>
    <w:rsid w:val="00BF6DF1"/>
    <w:rsid w:val="00C67EDB"/>
    <w:rsid w:val="00D766EC"/>
    <w:rsid w:val="00E72D4D"/>
    <w:rsid w:val="00F693CE"/>
    <w:rsid w:val="00F71D8F"/>
    <w:rsid w:val="00F869E0"/>
    <w:rsid w:val="0436C28C"/>
    <w:rsid w:val="087F40CD"/>
    <w:rsid w:val="0BA7077E"/>
    <w:rsid w:val="0E8B996A"/>
    <w:rsid w:val="14822D20"/>
    <w:rsid w:val="152709E8"/>
    <w:rsid w:val="1CD381E2"/>
    <w:rsid w:val="2554F549"/>
    <w:rsid w:val="2641EFD0"/>
    <w:rsid w:val="3263A860"/>
    <w:rsid w:val="3785CB02"/>
    <w:rsid w:val="3871A06F"/>
    <w:rsid w:val="38C4F6FE"/>
    <w:rsid w:val="3A83F0BB"/>
    <w:rsid w:val="3BA94131"/>
    <w:rsid w:val="3EC11631"/>
    <w:rsid w:val="473805A0"/>
    <w:rsid w:val="4945D7CD"/>
    <w:rsid w:val="4A2FDB39"/>
    <w:rsid w:val="5D274880"/>
    <w:rsid w:val="5E2E9CB0"/>
    <w:rsid w:val="618B8204"/>
    <w:rsid w:val="64C322C6"/>
    <w:rsid w:val="6DC1F79E"/>
    <w:rsid w:val="71E43679"/>
    <w:rsid w:val="73B49B54"/>
    <w:rsid w:val="75F6481F"/>
    <w:rsid w:val="77130CDE"/>
    <w:rsid w:val="7BA684DC"/>
    <w:rsid w:val="7C2322AA"/>
    <w:rsid w:val="7E7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7EE7"/>
  <w15:chartTrackingRefBased/>
  <w15:docId w15:val="{438C5BD0-591A-49F3-8896-E659239F7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A22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A22C7"/>
  </w:style>
  <w:style w:type="character" w:styleId="eop" w:customStyle="1">
    <w:name w:val="eop"/>
    <w:basedOn w:val="DefaultParagraphFont"/>
    <w:rsid w:val="00BA22C7"/>
  </w:style>
  <w:style w:type="character" w:styleId="scxw34279292" w:customStyle="1">
    <w:name w:val="scxw34279292"/>
    <w:basedOn w:val="DefaultParagraphFont"/>
    <w:rsid w:val="00BA22C7"/>
  </w:style>
  <w:style w:type="paragraph" w:styleId="Header">
    <w:name w:val="header"/>
    <w:basedOn w:val="Normal"/>
    <w:link w:val="HeaderChar"/>
    <w:uiPriority w:val="99"/>
    <w:unhideWhenUsed/>
    <w:rsid w:val="00AA02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02C0"/>
  </w:style>
  <w:style w:type="paragraph" w:styleId="Footer">
    <w:name w:val="footer"/>
    <w:basedOn w:val="Normal"/>
    <w:link w:val="FooterChar"/>
    <w:uiPriority w:val="99"/>
    <w:unhideWhenUsed/>
    <w:rsid w:val="00AA02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02C0"/>
  </w:style>
  <w:style w:type="paragraph" w:styleId="BalloonText">
    <w:name w:val="Balloon Text"/>
    <w:basedOn w:val="Normal"/>
    <w:link w:val="BalloonTextChar"/>
    <w:uiPriority w:val="99"/>
    <w:semiHidden/>
    <w:unhideWhenUsed/>
    <w:rsid w:val="002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5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A12"/>
    <w:pPr>
      <w:ind w:left="720"/>
      <w:contextualSpacing/>
    </w:pPr>
    <w:rPr>
      <w:rFonts w:ascii="Calibri" w:hAnsi="Calibri" w:eastAsia="Calibri" w:cs="Calibri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0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2"/>
    <w:pPr>
      <w:spacing w:line="240" w:lineRule="auto"/>
    </w:pPr>
    <w:rPr>
      <w:rFonts w:ascii="Calibri" w:hAnsi="Calibri" w:eastAsia="Calibri" w:cs="Calibri"/>
      <w:sz w:val="20"/>
      <w:szCs w:val="20"/>
      <w:lang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5A12"/>
    <w:rPr>
      <w:rFonts w:ascii="Calibri" w:hAnsi="Calibri" w:eastAsia="Calibri" w:cs="Calibr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766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6EC"/>
    <w:rPr>
      <w:color w:val="954F72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cc70333c6f1a4426" /><Relationship Type="http://schemas.microsoft.com/office/2011/relationships/commentsExtended" Target="commentsExtended.xml" Id="R5853a3990c914602" /><Relationship Type="http://schemas.microsoft.com/office/2016/09/relationships/commentsIds" Target="commentsIds.xml" Id="R47e3f92ba66c47ff" /><Relationship Type="http://schemas.openxmlformats.org/officeDocument/2006/relationships/footer" Target="footer.xml" Id="Rf782becbb4c140a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24AEB-DFAF-4365-9256-62532CFAC4AF}">
  <ds:schemaRefs>
    <ds:schemaRef ds:uri="http://schemas.microsoft.com/office/2006/metadata/properties"/>
    <ds:schemaRef ds:uri="http://schemas.microsoft.com/office/infopath/2007/PartnerControls"/>
    <ds:schemaRef ds:uri="600480e7-3dc2-4c93-b2b0-f7253733db77"/>
    <ds:schemaRef ds:uri="6b23f664-a40a-46d4-8315-1211af3cb14c"/>
  </ds:schemaRefs>
</ds:datastoreItem>
</file>

<file path=customXml/itemProps2.xml><?xml version="1.0" encoding="utf-8"?>
<ds:datastoreItem xmlns:ds="http://schemas.openxmlformats.org/officeDocument/2006/customXml" ds:itemID="{F37F1DEE-DF68-48C9-A573-70506DF68EAF}"/>
</file>

<file path=customXml/itemProps3.xml><?xml version="1.0" encoding="utf-8"?>
<ds:datastoreItem xmlns:ds="http://schemas.openxmlformats.org/officeDocument/2006/customXml" ds:itemID="{DE931116-107A-4FF0-B2CE-1E84FE5D89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Extenuating Circumstances Policy for Make Up Post-assessments</dc:title>
  <dc:subject/>
  <dc:creator>Flynn, Christine</dc:creator>
  <cp:keywords/>
  <dc:description/>
  <cp:lastModifiedBy>giasuggs</cp:lastModifiedBy>
  <cp:revision>11</cp:revision>
  <cp:lastPrinted>2022-02-01T03:56:00Z</cp:lastPrinted>
  <dcterms:created xsi:type="dcterms:W3CDTF">2023-09-05T15:26:00Z</dcterms:created>
  <dcterms:modified xsi:type="dcterms:W3CDTF">2024-05-08T12:19:28Z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